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180" w:afterAutospacing="0" w:line="27" w:lineRule="atLeast"/>
        <w:ind w:left="0" w:right="0" w:firstLine="0"/>
        <w:jc w:val="center"/>
      </w:pPr>
      <w:r>
        <w:rPr>
          <w:rStyle w:val="9"/>
          <w:rFonts w:ascii="微软雅黑" w:hAnsi="微软雅黑" w:eastAsia="微软雅黑" w:cs="微软雅黑"/>
          <w:color w:val="000000"/>
          <w:sz w:val="36"/>
          <w:szCs w:val="36"/>
        </w:rPr>
        <w:t>邓州市促进中心城区房地产市场平稳健康发展的若干措施（试行）</w:t>
      </w:r>
    </w:p>
    <w:p>
      <w:pPr>
        <w:pStyle w:val="6"/>
        <w:keepNext w:val="0"/>
        <w:keepLines w:val="0"/>
        <w:widowControl/>
        <w:suppressLineNumbers w:val="0"/>
        <w:spacing w:before="0" w:beforeAutospacing="0" w:after="180" w:afterAutospacing="0" w:line="27" w:lineRule="atLeast"/>
        <w:ind w:left="0" w:right="0" w:firstLine="450"/>
        <w:rPr>
          <w:rFonts w:hint="eastAsia" w:ascii="仿宋" w:hAnsi="仿宋" w:eastAsia="仿宋" w:cs="仿宋"/>
          <w:sz w:val="30"/>
          <w:szCs w:val="30"/>
        </w:rPr>
      </w:pPr>
      <w:r>
        <w:rPr>
          <w:rFonts w:hint="eastAsia" w:ascii="仿宋" w:hAnsi="仿宋" w:eastAsia="仿宋" w:cs="仿宋"/>
          <w:color w:val="000000"/>
          <w:sz w:val="30"/>
          <w:szCs w:val="30"/>
        </w:rPr>
        <w:t>为贯彻落实党中央、国务院和省委、省政府决策部署，坚持“房子是用来住的、不是用来炒的”定位，实现“稳地价、稳房价、稳预期”目标，进一步激活邓州市房地产市场主体活力，促进房地产市场平稳健康发展。结合邓州实际，制定以下措施：</w:t>
      </w:r>
    </w:p>
    <w:p>
      <w:pPr>
        <w:pStyle w:val="6"/>
        <w:keepNext w:val="0"/>
        <w:keepLines w:val="0"/>
        <w:widowControl/>
        <w:suppressLineNumbers w:val="0"/>
        <w:spacing w:before="0" w:beforeAutospacing="0" w:after="180" w:afterAutospacing="0" w:line="27" w:lineRule="atLeast"/>
        <w:ind w:left="0" w:right="0" w:firstLine="450"/>
        <w:rPr>
          <w:rFonts w:hint="eastAsia" w:ascii="仿宋" w:hAnsi="仿宋" w:eastAsia="仿宋" w:cs="仿宋"/>
          <w:sz w:val="30"/>
          <w:szCs w:val="30"/>
        </w:rPr>
      </w:pPr>
      <w:r>
        <w:rPr>
          <w:rFonts w:hint="eastAsia" w:ascii="仿宋" w:hAnsi="仿宋" w:eastAsia="仿宋" w:cs="仿宋"/>
          <w:color w:val="000000"/>
          <w:sz w:val="30"/>
          <w:szCs w:val="30"/>
        </w:rPr>
        <w:t>一、改善房地产项目审批流程。按照土地使用权出让合同约定的开发期限，加快推进项目建设，调整工程形象进度为6层以下的商品房项目，完成主体1层结构封顶</w:t>
      </w:r>
      <w:bookmarkStart w:id="0" w:name="_GoBack"/>
      <w:bookmarkEnd w:id="0"/>
      <w:r>
        <w:rPr>
          <w:rFonts w:hint="eastAsia" w:ascii="仿宋" w:hAnsi="仿宋" w:eastAsia="仿宋" w:cs="仿宋"/>
          <w:color w:val="000000"/>
          <w:sz w:val="30"/>
          <w:szCs w:val="30"/>
        </w:rPr>
        <w:t>工程；7至12层小高层建筑完成主体2层结构封顶工程；13层以上高层建筑完成主体4层结构封顶工程，即可申请商品房预售许可。鼓励有条件有实力的开发企业现房销售。（责任单位：房产管理中心）</w:t>
      </w:r>
    </w:p>
    <w:p>
      <w:pPr>
        <w:pStyle w:val="6"/>
        <w:keepNext w:val="0"/>
        <w:keepLines w:val="0"/>
        <w:widowControl/>
        <w:suppressLineNumbers w:val="0"/>
        <w:spacing w:before="0" w:beforeAutospacing="0" w:after="180" w:afterAutospacing="0" w:line="27" w:lineRule="atLeast"/>
        <w:ind w:left="0" w:right="0" w:firstLine="450"/>
        <w:rPr>
          <w:rFonts w:hint="eastAsia" w:ascii="仿宋" w:hAnsi="仿宋" w:eastAsia="仿宋" w:cs="仿宋"/>
          <w:sz w:val="30"/>
          <w:szCs w:val="30"/>
        </w:rPr>
      </w:pPr>
      <w:r>
        <w:rPr>
          <w:rFonts w:hint="eastAsia" w:ascii="仿宋" w:hAnsi="仿宋" w:eastAsia="仿宋" w:cs="仿宋"/>
          <w:color w:val="000000"/>
          <w:sz w:val="30"/>
          <w:szCs w:val="30"/>
        </w:rPr>
        <w:t>二、强化房地产企业信用等级结果运用。建立完善房地产企业信用等级评价体系，强化评价结果共享应用，将重点监管资金额度与房地产开发企业信用综合评价结果挂钩，按照信用评价等级实施差异化管理。信用等级B级及以上的房地产开发企业在项目主体工程完成后，可申请拨付2%不可预见费；二次结构、内外墙粉刷工程完成后，可申请拨付2%不可预见费；水、电、门窗工程完成后，可申请拨付2%不可预见费；消防、电梯、外墙装饰工程完成后，可申请拨付2%不可预见费。信用等级C级的房地产开发企业主体、二次结构、内外墙粉刷工程完成后，可申请拨付2%不可预见费；水、电、门窗、消防、电梯、外墙装饰工程完成后，可申请拨付2%不可预见费。</w:t>
      </w:r>
    </w:p>
    <w:p>
      <w:pPr>
        <w:pStyle w:val="6"/>
        <w:keepNext w:val="0"/>
        <w:keepLines w:val="0"/>
        <w:widowControl/>
        <w:suppressLineNumbers w:val="0"/>
        <w:spacing w:before="0" w:beforeAutospacing="0" w:after="180" w:afterAutospacing="0" w:line="27" w:lineRule="atLeast"/>
        <w:ind w:left="0" w:right="0" w:firstLine="450"/>
        <w:rPr>
          <w:rFonts w:hint="eastAsia" w:ascii="仿宋" w:hAnsi="仿宋" w:eastAsia="仿宋" w:cs="仿宋"/>
          <w:sz w:val="30"/>
          <w:szCs w:val="30"/>
        </w:rPr>
      </w:pPr>
      <w:r>
        <w:rPr>
          <w:rFonts w:hint="eastAsia" w:ascii="仿宋" w:hAnsi="仿宋" w:eastAsia="仿宋" w:cs="仿宋"/>
          <w:color w:val="000000"/>
          <w:sz w:val="30"/>
          <w:szCs w:val="30"/>
        </w:rPr>
        <w:t>经房地产开发企业同意,监管部门可直接支付施工企业建设必需的建筑材料费、人工费、设备费等相关支出，同时，根据企业施工进度，实行多节点拨付。（责任单位：市房产管理中心）</w:t>
      </w:r>
    </w:p>
    <w:p>
      <w:pPr>
        <w:pStyle w:val="6"/>
        <w:keepNext w:val="0"/>
        <w:keepLines w:val="0"/>
        <w:widowControl/>
        <w:suppressLineNumbers w:val="0"/>
        <w:spacing w:before="0" w:beforeAutospacing="0" w:after="180" w:afterAutospacing="0" w:line="27" w:lineRule="atLeast"/>
        <w:ind w:left="0" w:right="0" w:firstLine="450"/>
        <w:rPr>
          <w:rFonts w:hint="eastAsia" w:ascii="仿宋" w:hAnsi="仿宋" w:eastAsia="仿宋" w:cs="仿宋"/>
          <w:sz w:val="30"/>
          <w:szCs w:val="30"/>
        </w:rPr>
      </w:pPr>
      <w:r>
        <w:rPr>
          <w:rFonts w:hint="eastAsia" w:ascii="仿宋" w:hAnsi="仿宋" w:eastAsia="仿宋" w:cs="仿宋"/>
          <w:color w:val="000000"/>
          <w:sz w:val="30"/>
          <w:szCs w:val="30"/>
        </w:rPr>
        <w:t>三、促进新建商品房、二手房消费联动。支持城镇居民改善型住房消费需求，对个人转让住房未提供完整、准确的房屋原值凭证，不能正确计算房屋原值和应纳税额的，可按住房转让收入的1%核定征收个人所得税。（责任单位：市税务局、房产管理中心）</w:t>
      </w:r>
    </w:p>
    <w:p>
      <w:pPr>
        <w:pStyle w:val="6"/>
        <w:keepNext w:val="0"/>
        <w:keepLines w:val="0"/>
        <w:widowControl/>
        <w:suppressLineNumbers w:val="0"/>
        <w:spacing w:before="0" w:beforeAutospacing="0" w:after="180" w:afterAutospacing="0" w:line="27" w:lineRule="atLeast"/>
        <w:ind w:left="0" w:right="0" w:firstLine="450"/>
        <w:rPr>
          <w:rFonts w:hint="eastAsia" w:ascii="仿宋" w:hAnsi="仿宋" w:eastAsia="仿宋" w:cs="仿宋"/>
          <w:sz w:val="30"/>
          <w:szCs w:val="30"/>
        </w:rPr>
      </w:pPr>
      <w:r>
        <w:rPr>
          <w:rFonts w:hint="eastAsia" w:ascii="仿宋" w:hAnsi="仿宋" w:eastAsia="仿宋" w:cs="仿宋"/>
          <w:color w:val="000000"/>
          <w:sz w:val="30"/>
          <w:szCs w:val="30"/>
        </w:rPr>
        <w:t>四、优化公积金贷款使用办法。允许异地缴存公积金职工在邓购房申请公积金贷款，实现异地职工享有在邓同等住房公积金贷款政策。提高贷款最高限额，单人缴存公积金的家庭，最高限额由不得超过40万元提高到不得超过50万元；借款人及配偶均缴存公积金的家庭，最高限额由不得超过50万元提高到不得超过60万元。（责任单位：住房公积金管理中心、人民银行邓州支行）</w:t>
      </w:r>
    </w:p>
    <w:p>
      <w:pPr>
        <w:pStyle w:val="6"/>
        <w:keepNext w:val="0"/>
        <w:keepLines w:val="0"/>
        <w:widowControl/>
        <w:suppressLineNumbers w:val="0"/>
        <w:spacing w:before="0" w:beforeAutospacing="0" w:after="180" w:afterAutospacing="0" w:line="27" w:lineRule="atLeast"/>
        <w:ind w:left="0" w:right="0" w:firstLine="450"/>
        <w:rPr>
          <w:rFonts w:hint="eastAsia" w:ascii="仿宋" w:hAnsi="仿宋" w:eastAsia="仿宋" w:cs="仿宋"/>
          <w:sz w:val="30"/>
          <w:szCs w:val="30"/>
        </w:rPr>
      </w:pPr>
      <w:r>
        <w:rPr>
          <w:rFonts w:hint="eastAsia" w:ascii="仿宋" w:hAnsi="仿宋" w:eastAsia="仿宋" w:cs="仿宋"/>
          <w:color w:val="000000"/>
          <w:sz w:val="30"/>
          <w:szCs w:val="30"/>
        </w:rPr>
        <w:t>五、支持合理住房需求。对具有大中专以上学历的人才在本地与用人单位签订聘用合同或自主创业并缴纳3个月及以上社保的，以及对原籍不在中心城区，因工作或上学等各种原因来邓的新市民，在邓州市中心城区购买首套新建商品住房并完成契税缴纳的，可以享受所缴契税款50%补贴，补贴以家庭为单位，夫妻双方不能同时享受。鼓励房地产开发企业对符合上述条件的购房户每套优惠5000-10000元。</w:t>
      </w:r>
    </w:p>
    <w:p>
      <w:pPr>
        <w:pStyle w:val="6"/>
        <w:keepNext w:val="0"/>
        <w:keepLines w:val="0"/>
        <w:widowControl/>
        <w:suppressLineNumbers w:val="0"/>
        <w:spacing w:before="0" w:beforeAutospacing="0" w:after="180" w:afterAutospacing="0" w:line="27" w:lineRule="atLeast"/>
        <w:ind w:left="0" w:right="0" w:firstLine="450"/>
        <w:rPr>
          <w:rFonts w:hint="eastAsia" w:ascii="仿宋" w:hAnsi="仿宋" w:eastAsia="仿宋" w:cs="仿宋"/>
          <w:sz w:val="30"/>
          <w:szCs w:val="30"/>
        </w:rPr>
      </w:pPr>
      <w:r>
        <w:rPr>
          <w:rFonts w:hint="eastAsia" w:ascii="仿宋" w:hAnsi="仿宋" w:eastAsia="仿宋" w:cs="仿宋"/>
          <w:color w:val="000000"/>
          <w:sz w:val="30"/>
          <w:szCs w:val="30"/>
        </w:rPr>
        <w:t>申请购房补贴由市房产管理中心负责受理，市人力资源和社会保障局、市教体局、市房管中心对购房补贴进行审核；市财政局将补贴资金拨付至市房产管理中心，由市房产管理中心将购房补贴支付到符合条件的购房人提供的个人账户。（责任单位：市房产管理中心、财政局、人力资源和社会保障局、市教育和体育局、税务局、公安局、人才发展集团）</w:t>
      </w:r>
    </w:p>
    <w:p>
      <w:pPr>
        <w:pStyle w:val="6"/>
        <w:keepNext w:val="0"/>
        <w:keepLines w:val="0"/>
        <w:widowControl/>
        <w:suppressLineNumbers w:val="0"/>
        <w:spacing w:before="0" w:beforeAutospacing="0" w:after="180" w:afterAutospacing="0" w:line="27" w:lineRule="atLeast"/>
        <w:ind w:left="0" w:right="0" w:firstLine="450"/>
        <w:rPr>
          <w:rFonts w:hint="eastAsia" w:ascii="仿宋" w:hAnsi="仿宋" w:eastAsia="仿宋" w:cs="仿宋"/>
          <w:sz w:val="30"/>
          <w:szCs w:val="30"/>
        </w:rPr>
      </w:pPr>
      <w:r>
        <w:rPr>
          <w:rFonts w:hint="eastAsia" w:ascii="仿宋" w:hAnsi="仿宋" w:eastAsia="仿宋" w:cs="仿宋"/>
          <w:color w:val="000000"/>
          <w:sz w:val="30"/>
          <w:szCs w:val="30"/>
        </w:rPr>
        <w:t>六、加大信贷融资支持。定期组织银企对接，为银企双方搭建桥梁，鼓励金融机构对受困企业贷款展期、续贷，按照依法依规、风险可控、商业可持续的原则，稳妥有序开展房地产项目并购贷款业务，有效缓解市场主体资金链运行压力。</w:t>
      </w:r>
    </w:p>
    <w:p>
      <w:pPr>
        <w:pStyle w:val="6"/>
        <w:keepNext w:val="0"/>
        <w:keepLines w:val="0"/>
        <w:widowControl/>
        <w:suppressLineNumbers w:val="0"/>
        <w:spacing w:before="0" w:beforeAutospacing="0" w:after="180" w:afterAutospacing="0" w:line="27" w:lineRule="atLeast"/>
        <w:ind w:left="0" w:right="0" w:firstLine="450"/>
        <w:rPr>
          <w:rFonts w:hint="eastAsia" w:ascii="仿宋" w:hAnsi="仿宋" w:eastAsia="仿宋" w:cs="仿宋"/>
          <w:sz w:val="30"/>
          <w:szCs w:val="30"/>
        </w:rPr>
      </w:pPr>
      <w:r>
        <w:rPr>
          <w:rFonts w:hint="eastAsia" w:ascii="仿宋" w:hAnsi="仿宋" w:eastAsia="仿宋" w:cs="仿宋"/>
          <w:color w:val="000000"/>
          <w:sz w:val="30"/>
          <w:szCs w:val="30"/>
        </w:rPr>
        <w:t>金融机构要区分项目风险与企业集团风险，加大对优质项目的支持力度，在风险可控基础上，适度加大流动性贷款等支持力度，满足房地产开发企业合理融资需求，不盲目抽贷、断贷、压贷，不搞“一刀切”，不得强行划转重点监管资金，保持我市房地产开发贷款平稳有序投放。（责任单位：市金融服务中心、人民银行邓州支行、南阳市银保监分局邓州监管组）</w:t>
      </w:r>
    </w:p>
    <w:p>
      <w:pPr>
        <w:pStyle w:val="6"/>
        <w:keepNext w:val="0"/>
        <w:keepLines w:val="0"/>
        <w:widowControl/>
        <w:suppressLineNumbers w:val="0"/>
        <w:spacing w:before="0" w:beforeAutospacing="0" w:after="180" w:afterAutospacing="0" w:line="27" w:lineRule="atLeast"/>
        <w:ind w:left="0" w:right="0" w:firstLine="450"/>
        <w:rPr>
          <w:rFonts w:hint="eastAsia" w:ascii="仿宋" w:hAnsi="仿宋" w:eastAsia="仿宋" w:cs="仿宋"/>
          <w:sz w:val="30"/>
          <w:szCs w:val="30"/>
        </w:rPr>
      </w:pPr>
      <w:r>
        <w:rPr>
          <w:rFonts w:hint="eastAsia" w:ascii="仿宋" w:hAnsi="仿宋" w:eastAsia="仿宋" w:cs="仿宋"/>
          <w:color w:val="000000"/>
          <w:sz w:val="30"/>
          <w:szCs w:val="30"/>
        </w:rPr>
        <w:t>七、降低个人住房消费负担。各金融机构要加大个人住房按揭贷款投放，根据借款人的信用状况、还款能力等合理确定具体首付款比例和利率水平，更好满足购房者合理住房需求；对因疫情原因无法及时偿还住房按揭贷款的特殊困难群体，落实延期偿还相关政策。对拥有一套住房并已结清相应购房贷款的家庭，为改善居住条件再次申请贷款购买普通商品住房，金融机构执行首套房贷款政策。（责任单位：市金融服务中心、人民银行邓州支行、南阳市银保监分局邓州监管组）   </w:t>
      </w:r>
    </w:p>
    <w:p>
      <w:pPr>
        <w:pStyle w:val="6"/>
        <w:keepNext w:val="0"/>
        <w:keepLines w:val="0"/>
        <w:widowControl/>
        <w:suppressLineNumbers w:val="0"/>
        <w:spacing w:before="0" w:beforeAutospacing="0" w:after="180" w:afterAutospacing="0" w:line="27" w:lineRule="atLeast"/>
        <w:ind w:left="0" w:right="0" w:firstLine="450"/>
        <w:rPr>
          <w:rFonts w:hint="eastAsia" w:ascii="仿宋" w:hAnsi="仿宋" w:eastAsia="仿宋" w:cs="仿宋"/>
          <w:sz w:val="30"/>
          <w:szCs w:val="30"/>
        </w:rPr>
      </w:pPr>
      <w:r>
        <w:rPr>
          <w:rFonts w:hint="eastAsia" w:ascii="仿宋" w:hAnsi="仿宋" w:eastAsia="仿宋" w:cs="仿宋"/>
          <w:color w:val="000000"/>
          <w:sz w:val="30"/>
          <w:szCs w:val="30"/>
        </w:rPr>
        <w:t>八、建立良好土地市场秩序。收紧变相集资房用地审批。根据中心城区新增人口变化和市场供需关系，加大对房地产用地的调控力度，对巳纳入储备的经营性用地，根据土地市场的需求适时调整土地供应，优先满足住宅用地需求。住宅用地竞买保证金可按不低于出让最低价20%缴纳；允许分期缴纳出让金，首次缴纳比例不低于出让款的50%前提下，剩余价款必须在一年内商品房预售许可证办理前缴清。同时加大批而未供和闲置房地产开发用地的盘活力度。（责任单位：市自然资源和规划局）   </w:t>
      </w:r>
    </w:p>
    <w:p>
      <w:pPr>
        <w:pStyle w:val="6"/>
        <w:keepNext w:val="0"/>
        <w:keepLines w:val="0"/>
        <w:widowControl/>
        <w:suppressLineNumbers w:val="0"/>
        <w:spacing w:before="0" w:beforeAutospacing="0" w:after="180" w:afterAutospacing="0" w:line="27" w:lineRule="atLeast"/>
        <w:ind w:left="0" w:right="0" w:firstLine="450"/>
        <w:rPr>
          <w:rFonts w:hint="eastAsia" w:ascii="仿宋" w:hAnsi="仿宋" w:eastAsia="仿宋" w:cs="仿宋"/>
          <w:sz w:val="30"/>
          <w:szCs w:val="30"/>
        </w:rPr>
      </w:pPr>
      <w:r>
        <w:rPr>
          <w:rFonts w:hint="eastAsia" w:ascii="仿宋" w:hAnsi="仿宋" w:eastAsia="仿宋" w:cs="仿宋"/>
          <w:color w:val="000000"/>
          <w:sz w:val="30"/>
          <w:szCs w:val="30"/>
        </w:rPr>
        <w:t>九、推行货币化安置。在中心城区基础设施建设、城市更新工作推进中，鼓励被征迁群众选择货币化安置，缩短安置周期，减少过度安置费，进一步激活我市房地产市场活力。（责任单位：市住房和城乡建设局、财政局）</w:t>
      </w:r>
    </w:p>
    <w:p>
      <w:pPr>
        <w:pStyle w:val="6"/>
        <w:keepNext w:val="0"/>
        <w:keepLines w:val="0"/>
        <w:widowControl/>
        <w:suppressLineNumbers w:val="0"/>
        <w:spacing w:before="0" w:beforeAutospacing="0" w:after="180" w:afterAutospacing="0" w:line="27" w:lineRule="atLeast"/>
        <w:ind w:left="0" w:right="0" w:firstLine="450"/>
        <w:rPr>
          <w:rFonts w:hint="eastAsia" w:ascii="仿宋" w:hAnsi="仿宋" w:eastAsia="仿宋" w:cs="仿宋"/>
          <w:sz w:val="30"/>
          <w:szCs w:val="30"/>
        </w:rPr>
      </w:pPr>
      <w:r>
        <w:rPr>
          <w:rFonts w:hint="eastAsia" w:ascii="仿宋" w:hAnsi="仿宋" w:eastAsia="仿宋" w:cs="仿宋"/>
          <w:color w:val="000000"/>
          <w:sz w:val="30"/>
          <w:szCs w:val="30"/>
        </w:rPr>
        <w:t>十、保障业主子女就近入学。在新建学校周边优先规划建设配套完善的住宅社区，凡是在城区购房并实际入住的，持不动产证或购房合同，义务教育起始年级（一年级、七年级）子女免试就近入学。（责任单位：市教育和体育局）</w:t>
      </w:r>
    </w:p>
    <w:p>
      <w:pPr>
        <w:pStyle w:val="6"/>
        <w:keepNext w:val="0"/>
        <w:keepLines w:val="0"/>
        <w:widowControl/>
        <w:suppressLineNumbers w:val="0"/>
        <w:spacing w:before="0" w:beforeAutospacing="0" w:after="180" w:afterAutospacing="0" w:line="27" w:lineRule="atLeast"/>
        <w:ind w:left="0" w:right="0" w:firstLine="450"/>
        <w:rPr>
          <w:rFonts w:hint="eastAsia" w:ascii="仿宋" w:hAnsi="仿宋" w:eastAsia="仿宋" w:cs="仿宋"/>
          <w:sz w:val="30"/>
          <w:szCs w:val="30"/>
        </w:rPr>
      </w:pPr>
      <w:r>
        <w:rPr>
          <w:rFonts w:hint="eastAsia" w:ascii="仿宋" w:hAnsi="仿宋" w:eastAsia="仿宋" w:cs="仿宋"/>
          <w:color w:val="000000"/>
          <w:sz w:val="30"/>
          <w:szCs w:val="30"/>
        </w:rPr>
        <w:t>十一、提高政务服务水平。在一定范围内试点使用商业银行、商业保险、国有担保机构出具担保函替代预售监管资金的方式释放预售监管资金流动性；精简房地产项目审批程序，加大部门对接，提前介入、优化流程，实行更便民利企的服务方式，推动“互联网+不动产登记”向更高层级发展，推进“交房即发证”常态化开展。实施更加精准的扬尘防控措施，增加有效施工天数。（责任单位：市自然资源和规划局、住房和城乡建设局、房管中心、市政务服务和大数据中心）</w:t>
      </w:r>
    </w:p>
    <w:p>
      <w:pPr>
        <w:pStyle w:val="6"/>
        <w:keepNext w:val="0"/>
        <w:keepLines w:val="0"/>
        <w:widowControl/>
        <w:suppressLineNumbers w:val="0"/>
        <w:spacing w:before="0" w:beforeAutospacing="0" w:after="180" w:afterAutospacing="0" w:line="27" w:lineRule="atLeast"/>
        <w:ind w:left="0" w:right="0" w:firstLine="450"/>
        <w:rPr>
          <w:rFonts w:hint="eastAsia" w:ascii="仿宋" w:hAnsi="仿宋" w:eastAsia="仿宋" w:cs="仿宋"/>
          <w:sz w:val="30"/>
          <w:szCs w:val="30"/>
        </w:rPr>
      </w:pPr>
      <w:r>
        <w:rPr>
          <w:rFonts w:hint="eastAsia" w:ascii="仿宋" w:hAnsi="仿宋" w:eastAsia="仿宋" w:cs="仿宋"/>
          <w:color w:val="000000"/>
          <w:sz w:val="30"/>
          <w:szCs w:val="30"/>
        </w:rPr>
        <w:t>十二、健全网上舆情监测机制。统一房地产市场数据信息发布口径，规范信息传播秩序，及时回应社会关切，正确引导舆论和市场预期。相关部门要加强网络平台、自媒体等媒介发布管理，依法严厉打击发布不实信息、恶意炒作、渲染恐慌情绪、误导市场预期等扰乱市场秩序的行为。（责任单位：市委宣传部、市融媒体中心、公安局、房产管理中心）</w:t>
      </w:r>
    </w:p>
    <w:p>
      <w:pPr>
        <w:pStyle w:val="6"/>
        <w:keepNext w:val="0"/>
        <w:keepLines w:val="0"/>
        <w:widowControl/>
        <w:suppressLineNumbers w:val="0"/>
        <w:spacing w:before="0" w:beforeAutospacing="0" w:after="180" w:afterAutospacing="0" w:line="27" w:lineRule="atLeast"/>
        <w:ind w:left="0" w:right="0" w:firstLine="450"/>
        <w:rPr>
          <w:rFonts w:hint="eastAsia" w:ascii="仿宋" w:hAnsi="仿宋" w:eastAsia="仿宋" w:cs="仿宋"/>
          <w:sz w:val="30"/>
          <w:szCs w:val="30"/>
        </w:rPr>
      </w:pPr>
      <w:r>
        <w:rPr>
          <w:rFonts w:hint="eastAsia" w:ascii="仿宋" w:hAnsi="仿宋" w:eastAsia="仿宋" w:cs="仿宋"/>
          <w:color w:val="000000"/>
          <w:sz w:val="30"/>
          <w:szCs w:val="30"/>
        </w:rPr>
        <w:t>十三、切实履行房地产市场主体责任。各相关责任单位要妥善处置企业欠款，及时退还各类保证金，落实规费减免政策及优惠政策，积极引导支持房地产开发企业开展促销活动。市住房城乡建设、房管中心、自然资源规划、财政、税务、金融、公积金等有关部门和单位要大力协同，适时研判房地产市场走势，做好市场监测分析。房地产开发企业要强化企业主体责任，找准产品定位，提高产品品质，共同促进房地产市场平稳健康发展。（责任单位：市住房和城乡建设局、自然资源和规划局、房产管理中心、财政局、税务局、金融服务中心、公积金管理中心）</w:t>
      </w:r>
    </w:p>
    <w:p>
      <w:pPr>
        <w:pStyle w:val="6"/>
        <w:keepNext w:val="0"/>
        <w:keepLines w:val="0"/>
        <w:widowControl/>
        <w:suppressLineNumbers w:val="0"/>
        <w:spacing w:before="0" w:beforeAutospacing="0" w:after="180" w:afterAutospacing="0" w:line="27" w:lineRule="atLeast"/>
        <w:ind w:left="0" w:right="0" w:firstLine="450"/>
        <w:rPr>
          <w:rFonts w:hint="eastAsia" w:ascii="仿宋" w:hAnsi="仿宋" w:eastAsia="仿宋" w:cs="仿宋"/>
          <w:sz w:val="30"/>
          <w:szCs w:val="30"/>
        </w:rPr>
      </w:pPr>
      <w:r>
        <w:rPr>
          <w:rFonts w:hint="eastAsia" w:ascii="仿宋" w:hAnsi="仿宋" w:eastAsia="仿宋" w:cs="仿宋"/>
          <w:color w:val="000000"/>
          <w:sz w:val="30"/>
          <w:szCs w:val="30"/>
        </w:rPr>
        <w:t>本措施自发布之日起执行，试行期一年。具体政策措施已明确执行期限的，从其规定。</w:t>
      </w:r>
    </w:p>
    <w:p>
      <w:pPr>
        <w:rPr>
          <w:rFonts w:hint="eastAsia" w:ascii="仿宋" w:hAnsi="仿宋" w:eastAsia="仿宋" w:cs="仿宋"/>
          <w:sz w:val="30"/>
          <w:szCs w:val="30"/>
        </w:rPr>
      </w:pPr>
    </w:p>
    <w:sectPr>
      <w:footerReference r:id="rId3" w:type="default"/>
      <w:pgSz w:w="11905" w:h="16838"/>
      <w:pgMar w:top="2041" w:right="1587" w:bottom="1984" w:left="1587" w:header="851" w:footer="1587"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文星仿宋..嬀.">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2" o:spid="_x0000_s4097"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aYJL0wAAAAUBAAAPAAAA&#10;AAAAAAEAIAAAACIAAABkcnMvZG93bnJldi54bWxQSwECFAAUAAAACACHTuJAiPCZcOEBAAC6AwAA&#10;DgAAAAAAAAABACAAAAAiAQAAZHJzL2Uyb0RvYy54bWxQSwUGAAAAAAYABgBZAQAAdQUAAAAA&#10;">
          <v:path/>
          <v:fill on="f" focussize="0,0"/>
          <v:stroke on="f" weight="1.25pt" joinstyle="miter"/>
          <v:imagedata o:title=""/>
          <o:lock v:ext="edit"/>
          <v:textbox inset="0mm,0mm,0mm,0mm" style="mso-fit-shape-to-text:t;">
            <w:txbxContent>
              <w:p>
                <w:pPr>
                  <w:pStyle w:val="4"/>
                  <w:ind w:left="315" w:leftChars="150" w:right="315" w:rightChars="150"/>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54D75"/>
    <w:rsid w:val="00354D75"/>
    <w:rsid w:val="008B3B97"/>
    <w:rsid w:val="00F900EB"/>
    <w:rsid w:val="017D61A4"/>
    <w:rsid w:val="07BE51AF"/>
    <w:rsid w:val="099E4603"/>
    <w:rsid w:val="0BAC51F8"/>
    <w:rsid w:val="0C7D0195"/>
    <w:rsid w:val="0DE722F6"/>
    <w:rsid w:val="0F041F20"/>
    <w:rsid w:val="0FE84A91"/>
    <w:rsid w:val="10941BC3"/>
    <w:rsid w:val="13261A8D"/>
    <w:rsid w:val="14DC1257"/>
    <w:rsid w:val="191559DF"/>
    <w:rsid w:val="1B006F12"/>
    <w:rsid w:val="1CAA1FE5"/>
    <w:rsid w:val="1CCC7C1A"/>
    <w:rsid w:val="1D95750E"/>
    <w:rsid w:val="1F8C12A7"/>
    <w:rsid w:val="2A805E1C"/>
    <w:rsid w:val="2B494939"/>
    <w:rsid w:val="30044AF8"/>
    <w:rsid w:val="30D504A8"/>
    <w:rsid w:val="35DC119F"/>
    <w:rsid w:val="393C7984"/>
    <w:rsid w:val="3A2058D8"/>
    <w:rsid w:val="3A5D6609"/>
    <w:rsid w:val="424D64F3"/>
    <w:rsid w:val="429B3C6E"/>
    <w:rsid w:val="450F44AA"/>
    <w:rsid w:val="45FA10D4"/>
    <w:rsid w:val="47920166"/>
    <w:rsid w:val="485E6006"/>
    <w:rsid w:val="50A8384C"/>
    <w:rsid w:val="52D12403"/>
    <w:rsid w:val="5B266453"/>
    <w:rsid w:val="5BE40D53"/>
    <w:rsid w:val="64164CDF"/>
    <w:rsid w:val="6CE4787B"/>
    <w:rsid w:val="6CFA5581"/>
    <w:rsid w:val="6D7E35D4"/>
    <w:rsid w:val="76C433BD"/>
    <w:rsid w:val="76D62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Calibri" w:hAnsi="Calibri" w:eastAsia="宋体" w:cs="黑体"/>
      <w:kern w:val="2"/>
      <w:sz w:val="21"/>
      <w:szCs w:val="24"/>
      <w:lang w:val="en-US" w:eastAsia="zh-CN" w:bidi="ar-SA"/>
    </w:rPr>
  </w:style>
  <w:style w:type="paragraph" w:styleId="2">
    <w:name w:val="heading 4"/>
    <w:basedOn w:val="1"/>
    <w:next w:val="1"/>
    <w:qFormat/>
    <w:uiPriority w:val="0"/>
    <w:pPr>
      <w:keepNext/>
      <w:keepLines/>
      <w:spacing w:line="600" w:lineRule="exact"/>
      <w:ind w:firstLine="640" w:firstLineChars="200"/>
      <w:outlineLvl w:val="3"/>
    </w:pPr>
    <w:rPr>
      <w:rFonts w:ascii="Cambria" w:hAnsi="Cambria" w:eastAsia="仿宋_GB2312"/>
      <w:b/>
      <w:bCs/>
      <w:sz w:val="32"/>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next w:val="1"/>
    <w:qFormat/>
    <w:uiPriority w:val="0"/>
    <w:pPr>
      <w:spacing w:after="120"/>
    </w:pPr>
    <w:rPr>
      <w:rFonts w:ascii="Times New Roman" w:hAnsi="Times New Roman"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uiPriority w:val="0"/>
    <w:rPr>
      <w:color w:val="000000"/>
      <w:u w:val="none"/>
    </w:rPr>
  </w:style>
  <w:style w:type="character" w:styleId="11">
    <w:name w:val="Emphasis"/>
    <w:basedOn w:val="8"/>
    <w:qFormat/>
    <w:uiPriority w:val="0"/>
  </w:style>
  <w:style w:type="character" w:styleId="12">
    <w:name w:val="HTML Definition"/>
    <w:basedOn w:val="8"/>
    <w:uiPriority w:val="0"/>
  </w:style>
  <w:style w:type="character" w:styleId="13">
    <w:name w:val="HTML Variable"/>
    <w:basedOn w:val="8"/>
    <w:uiPriority w:val="0"/>
  </w:style>
  <w:style w:type="character" w:styleId="14">
    <w:name w:val="Hyperlink"/>
    <w:basedOn w:val="8"/>
    <w:uiPriority w:val="0"/>
    <w:rPr>
      <w:color w:val="000000"/>
      <w:u w:val="none"/>
    </w:rPr>
  </w:style>
  <w:style w:type="character" w:styleId="15">
    <w:name w:val="HTML Code"/>
    <w:basedOn w:val="8"/>
    <w:uiPriority w:val="0"/>
    <w:rPr>
      <w:rFonts w:ascii="Courier New" w:hAnsi="Courier New"/>
      <w:sz w:val="20"/>
    </w:rPr>
  </w:style>
  <w:style w:type="character" w:styleId="16">
    <w:name w:val="HTML Cite"/>
    <w:basedOn w:val="8"/>
    <w:uiPriority w:val="0"/>
  </w:style>
  <w:style w:type="paragraph" w:customStyle="1" w:styleId="17">
    <w:name w:val="HTML 地址1"/>
    <w:basedOn w:val="1"/>
    <w:qFormat/>
    <w:uiPriority w:val="0"/>
    <w:pPr>
      <w:spacing w:before="100" w:beforeAutospacing="1" w:after="100" w:afterAutospacing="1"/>
      <w:jc w:val="left"/>
    </w:pPr>
    <w:rPr>
      <w:kern w:val="0"/>
      <w:sz w:val="24"/>
    </w:rPr>
  </w:style>
  <w:style w:type="paragraph" w:customStyle="1" w:styleId="18">
    <w:name w:val="正文首行缩进1"/>
    <w:qFormat/>
    <w:uiPriority w:val="0"/>
    <w:pPr>
      <w:widowControl w:val="0"/>
      <w:spacing w:before="40" w:after="40"/>
      <w:ind w:firstLine="420"/>
      <w:jc w:val="both"/>
    </w:pPr>
    <w:rPr>
      <w:rFonts w:ascii="Calibri" w:hAnsi="Calibri" w:eastAsia="宋体" w:cs="Times New Roman"/>
      <w:b/>
      <w:bCs/>
      <w:kern w:val="2"/>
      <w:sz w:val="21"/>
      <w:szCs w:val="24"/>
      <w:lang w:val="en-US" w:eastAsia="zh-CN" w:bidi="ar-SA"/>
    </w:rPr>
  </w:style>
  <w:style w:type="paragraph" w:customStyle="1" w:styleId="19">
    <w:name w:val="正文文本缩进1"/>
    <w:qFormat/>
    <w:uiPriority w:val="0"/>
    <w:pPr>
      <w:widowControl w:val="0"/>
      <w:ind w:left="574" w:firstLine="66"/>
      <w:jc w:val="both"/>
    </w:pPr>
    <w:rPr>
      <w:rFonts w:ascii="仿宋_GB2312" w:hAnsi="Calibri" w:eastAsia="仿宋_GB2312" w:cs="Times New Roman"/>
      <w:kern w:val="2"/>
      <w:sz w:val="30"/>
      <w:lang w:val="en-US" w:eastAsia="zh-CN" w:bidi="ar-SA"/>
    </w:rPr>
  </w:style>
  <w:style w:type="paragraph" w:customStyle="1" w:styleId="20">
    <w:name w:val="纯文本1"/>
    <w:qFormat/>
    <w:uiPriority w:val="0"/>
    <w:pPr>
      <w:widowControl w:val="0"/>
      <w:jc w:val="both"/>
    </w:pPr>
    <w:rPr>
      <w:rFonts w:ascii="宋体" w:hAnsi="Courier New" w:eastAsia="宋体" w:cs="Courier New"/>
      <w:kern w:val="2"/>
      <w:sz w:val="21"/>
      <w:szCs w:val="21"/>
      <w:lang w:val="en-US" w:eastAsia="zh-CN" w:bidi="ar-SA"/>
    </w:rPr>
  </w:style>
  <w:style w:type="paragraph" w:customStyle="1" w:styleId="21">
    <w:name w:val="Default"/>
    <w:qFormat/>
    <w:uiPriority w:val="0"/>
    <w:pPr>
      <w:autoSpaceDE w:val="0"/>
      <w:autoSpaceDN w:val="0"/>
    </w:pPr>
    <w:rPr>
      <w:rFonts w:hint="eastAsia" w:ascii="文星仿宋..嬀." w:hAnsi="文星仿宋..嬀." w:eastAsia="文星仿宋..嬀." w:cs="Times New Roman"/>
      <w:color w:val="000000"/>
      <w:sz w:val="24"/>
      <w:szCs w:val="24"/>
      <w:lang w:val="en-US" w:eastAsia="zh-CN" w:bidi="ar-SA"/>
    </w:rPr>
  </w:style>
  <w:style w:type="paragraph" w:customStyle="1" w:styleId="22">
    <w:name w:val="正文文本 21"/>
    <w:basedOn w:val="1"/>
    <w:qFormat/>
    <w:uiPriority w:val="0"/>
    <w:pPr>
      <w:spacing w:after="120" w:line="480" w:lineRule="auto"/>
    </w:pPr>
    <w:rPr>
      <w:rFonts w:ascii="Times New Roman" w:hAnsi="Times New Roman"/>
    </w:rPr>
  </w:style>
  <w:style w:type="paragraph" w:customStyle="1" w:styleId="23">
    <w:name w:val="正文缩进1"/>
    <w:basedOn w:val="1"/>
    <w:qFormat/>
    <w:uiPriority w:val="0"/>
    <w:pPr>
      <w:ind w:firstLine="420" w:firstLineChars="200"/>
    </w:pPr>
  </w:style>
  <w:style w:type="paragraph" w:customStyle="1" w:styleId="24">
    <w:name w:val="普通(网站)1"/>
    <w:basedOn w:val="1"/>
    <w:next w:val="1"/>
    <w:qFormat/>
    <w:uiPriority w:val="0"/>
    <w:pPr>
      <w:spacing w:before="100" w:beforeAutospacing="1" w:after="100" w:afterAutospacing="1"/>
      <w:jc w:val="left"/>
    </w:pPr>
    <w:rPr>
      <w:kern w:val="0"/>
      <w:sz w:val="24"/>
    </w:rPr>
  </w:style>
  <w:style w:type="paragraph" w:customStyle="1" w:styleId="25">
    <w:name w:val="样式3"/>
    <w:basedOn w:val="1"/>
    <w:qFormat/>
    <w:uiPriority w:val="0"/>
    <w:pPr>
      <w:spacing w:line="600" w:lineRule="exact"/>
      <w:ind w:firstLine="420" w:firstLineChars="200"/>
    </w:pPr>
    <w:rPr>
      <w:rFonts w:ascii="宋体" w:hAnsi="宋体" w:eastAsia="仿宋_GB2312"/>
      <w:sz w:val="32"/>
    </w:rPr>
  </w:style>
  <w:style w:type="paragraph" w:customStyle="1" w:styleId="26">
    <w:name w:val="TOC1"/>
    <w:basedOn w:val="1"/>
    <w:next w:val="1"/>
    <w:qFormat/>
    <w:uiPriority w:val="0"/>
    <w:pPr>
      <w:spacing w:line="660" w:lineRule="exact"/>
      <w:ind w:firstLine="705"/>
    </w:pPr>
    <w:rPr>
      <w:rFonts w:ascii="仿宋_GB2312" w:eastAsia="仿宋_GB2312"/>
      <w:color w:val="000000"/>
      <w:sz w:val="36"/>
      <w:szCs w:val="36"/>
    </w:rPr>
  </w:style>
  <w:style w:type="paragraph" w:customStyle="1" w:styleId="27">
    <w:name w:val="UserStyle_3"/>
    <w:basedOn w:val="1"/>
    <w:link w:val="36"/>
    <w:qFormat/>
    <w:uiPriority w:val="0"/>
    <w:rPr>
      <w:kern w:val="0"/>
      <w:sz w:val="20"/>
      <w:szCs w:val="20"/>
    </w:rPr>
  </w:style>
  <w:style w:type="paragraph" w:customStyle="1" w:styleId="28">
    <w:name w:val="UserStyle_4"/>
    <w:basedOn w:val="1"/>
    <w:next w:val="1"/>
    <w:qFormat/>
    <w:uiPriority w:val="0"/>
    <w:pPr>
      <w:ind w:left="1680"/>
    </w:pPr>
    <w:rPr>
      <w:rFonts w:ascii="仿宋_GB2312" w:eastAsia="仿宋_GB2312"/>
      <w:sz w:val="32"/>
      <w:szCs w:val="32"/>
    </w:rPr>
  </w:style>
  <w:style w:type="paragraph" w:customStyle="1" w:styleId="29">
    <w:name w:val="列出段落1"/>
    <w:basedOn w:val="1"/>
    <w:qFormat/>
    <w:uiPriority w:val="0"/>
    <w:pPr>
      <w:ind w:firstLine="420" w:firstLineChars="200"/>
    </w:pPr>
  </w:style>
  <w:style w:type="paragraph" w:customStyle="1" w:styleId="30">
    <w:name w:val="列出段落2"/>
    <w:basedOn w:val="1"/>
    <w:qFormat/>
    <w:uiPriority w:val="0"/>
    <w:pPr>
      <w:ind w:firstLine="420" w:firstLineChars="200"/>
    </w:pPr>
  </w:style>
  <w:style w:type="paragraph" w:customStyle="1" w:styleId="31">
    <w:name w:val="p0"/>
    <w:basedOn w:val="1"/>
    <w:qFormat/>
    <w:uiPriority w:val="0"/>
    <w:rPr>
      <w:rFonts w:cs="宋体"/>
      <w:kern w:val="0"/>
      <w:szCs w:val="21"/>
    </w:rPr>
  </w:style>
  <w:style w:type="paragraph" w:customStyle="1" w:styleId="32">
    <w:name w:val="Body text|1"/>
    <w:basedOn w:val="1"/>
    <w:qFormat/>
    <w:uiPriority w:val="0"/>
    <w:pPr>
      <w:spacing w:line="415" w:lineRule="auto"/>
      <w:ind w:firstLine="400"/>
    </w:pPr>
    <w:rPr>
      <w:rFonts w:ascii="宋体" w:hAnsi="宋体" w:cs="宋体"/>
      <w:sz w:val="30"/>
      <w:szCs w:val="30"/>
      <w:lang w:val="zh-TW" w:eastAsia="zh-TW" w:bidi="zh-TW"/>
    </w:rPr>
  </w:style>
  <w:style w:type="character" w:customStyle="1" w:styleId="33">
    <w:name w:val="页码1"/>
    <w:basedOn w:val="8"/>
    <w:qFormat/>
    <w:uiPriority w:val="0"/>
  </w:style>
  <w:style w:type="character" w:customStyle="1" w:styleId="34">
    <w:name w:val="NormalCharacter"/>
    <w:qFormat/>
    <w:uiPriority w:val="0"/>
    <w:rPr>
      <w:rFonts w:ascii="Calibri" w:hAnsi="Calibri" w:eastAsia="宋体" w:cs="黑体"/>
      <w:kern w:val="2"/>
      <w:sz w:val="21"/>
      <w:szCs w:val="24"/>
      <w:lang w:val="en-US" w:eastAsia="zh-CN" w:bidi="ar-SA"/>
    </w:rPr>
  </w:style>
  <w:style w:type="character" w:customStyle="1" w:styleId="35">
    <w:name w:val="UserStyle_1"/>
    <w:basedOn w:val="36"/>
    <w:qFormat/>
    <w:uiPriority w:val="0"/>
    <w:rPr>
      <w:rFonts w:eastAsia="宋体"/>
      <w:kern w:val="0"/>
      <w:sz w:val="20"/>
      <w:szCs w:val="20"/>
    </w:rPr>
  </w:style>
  <w:style w:type="character" w:customStyle="1" w:styleId="36">
    <w:name w:val="UserStyle_2"/>
    <w:link w:val="27"/>
    <w:semiHidden/>
    <w:qFormat/>
    <w:uiPriority w:val="0"/>
    <w:rPr>
      <w:rFonts w:ascii="Calibri" w:hAnsi="Calibri" w:eastAsia="宋体"/>
      <w:kern w:val="0"/>
      <w:sz w:val="20"/>
      <w:szCs w:val="20"/>
      <w:lang w:val="en-US" w:eastAsia="zh-CN" w:bidi="ar-SA"/>
    </w:rPr>
  </w:style>
  <w:style w:type="character" w:customStyle="1" w:styleId="37">
    <w:name w:val="bsharetext"/>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2803</Words>
  <Characters>15978</Characters>
  <Lines>133</Lines>
  <Paragraphs>37</Paragraphs>
  <TotalTime>5</TotalTime>
  <ScaleCrop>false</ScaleCrop>
  <LinksUpToDate>false</LinksUpToDate>
  <CharactersWithSpaces>18744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2023-02-23T02:30:00Z</dcterms:created>
  <dc:creator>雲</dc:creator>
  <cp:lastModifiedBy>Administrator</cp:lastModifiedBy>
  <cp:lastPrinted>2023-02-14T08:12:00Z</cp:lastPrinted>
  <dcterms:modified xsi:type="dcterms:W3CDTF">2023-03-15T07:35:50Z</dcterms:modified>
  <dc:title>Administrator</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07A0EB6C15C14432884AE0159D41F25B</vt:lpwstr>
  </property>
</Properties>
</file>